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0F" w:rsidRPr="008104D8" w:rsidRDefault="00ED5F0F" w:rsidP="008104D8">
      <w:pPr>
        <w:autoSpaceDE w:val="0"/>
        <w:autoSpaceDN w:val="0"/>
        <w:adjustRightInd w:val="0"/>
        <w:ind w:right="-90"/>
        <w:jc w:val="center"/>
        <w:rPr>
          <w:rFonts w:ascii="GothamNarrow-Light" w:hAnsi="GothamNarrow-Light" w:cs="GothamNarrow-Light"/>
          <w:color w:val="001AE6"/>
          <w:sz w:val="44"/>
          <w:szCs w:val="44"/>
        </w:rPr>
      </w:pPr>
      <w:bookmarkStart w:id="0" w:name="_GoBack"/>
      <w:bookmarkEnd w:id="0"/>
      <w:r w:rsidRPr="008104D8">
        <w:rPr>
          <w:rFonts w:ascii="GothamNarrow-Light" w:hAnsi="GothamNarrow-Light" w:cs="GothamNarrow-Light"/>
          <w:color w:val="001AE6"/>
          <w:sz w:val="44"/>
          <w:szCs w:val="44"/>
        </w:rPr>
        <w:t>Highlights</w:t>
      </w:r>
    </w:p>
    <w:p w:rsidR="00ED5F0F" w:rsidRDefault="00ED5F0F" w:rsidP="00FB7B6B">
      <w:pPr>
        <w:autoSpaceDE w:val="0"/>
        <w:autoSpaceDN w:val="0"/>
        <w:adjustRightInd w:val="0"/>
        <w:jc w:val="center"/>
        <w:rPr>
          <w:rFonts w:ascii="GothamNarrow-Book" w:hAnsi="GothamNarrow-Book" w:cs="GothamNarrow-Book"/>
          <w:color w:val="404040"/>
          <w:sz w:val="20"/>
          <w:szCs w:val="20"/>
        </w:rPr>
      </w:pPr>
      <w:proofErr w:type="gramStart"/>
      <w:r>
        <w:rPr>
          <w:rFonts w:ascii="GothamNarrow-Book" w:hAnsi="GothamNarrow-Book" w:cs="GothamNarrow-Book"/>
          <w:color w:val="404040"/>
          <w:sz w:val="20"/>
          <w:szCs w:val="20"/>
        </w:rPr>
        <w:t>from</w:t>
      </w:r>
      <w:proofErr w:type="gramEnd"/>
    </w:p>
    <w:p w:rsidR="00ED5F0F" w:rsidRDefault="00ED5F0F" w:rsidP="00FB7B6B">
      <w:pPr>
        <w:autoSpaceDE w:val="0"/>
        <w:autoSpaceDN w:val="0"/>
        <w:adjustRightInd w:val="0"/>
        <w:jc w:val="center"/>
        <w:rPr>
          <w:rFonts w:ascii="GothamNarrow-Bold" w:hAnsi="GothamNarrow-Bold" w:cs="GothamNarrow-Bold"/>
          <w:b/>
          <w:bCs/>
          <w:color w:val="404040"/>
          <w:sz w:val="20"/>
          <w:szCs w:val="20"/>
        </w:rPr>
      </w:pPr>
      <w:r>
        <w:rPr>
          <w:rFonts w:ascii="GothamNarrow-Bold" w:hAnsi="GothamNarrow-Bold" w:cs="GothamNarrow-Bold"/>
          <w:b/>
          <w:bCs/>
          <w:color w:val="404040"/>
          <w:sz w:val="20"/>
          <w:szCs w:val="20"/>
        </w:rPr>
        <w:t>“Reversing the Conventional Wisdom:</w:t>
      </w:r>
    </w:p>
    <w:p w:rsidR="00ED5F0F" w:rsidRDefault="00ED5F0F" w:rsidP="00FB7B6B">
      <w:pPr>
        <w:autoSpaceDE w:val="0"/>
        <w:autoSpaceDN w:val="0"/>
        <w:adjustRightInd w:val="0"/>
        <w:jc w:val="center"/>
        <w:rPr>
          <w:rFonts w:ascii="GothamNarrow-Bold" w:hAnsi="GothamNarrow-Bold" w:cs="GothamNarrow-Bold"/>
          <w:b/>
          <w:bCs/>
          <w:color w:val="404040"/>
          <w:sz w:val="20"/>
          <w:szCs w:val="20"/>
        </w:rPr>
      </w:pPr>
      <w:r>
        <w:rPr>
          <w:rFonts w:ascii="GothamNarrow-Bold" w:hAnsi="GothamNarrow-Bold" w:cs="GothamNarrow-Bold"/>
          <w:b/>
          <w:bCs/>
          <w:color w:val="404040"/>
          <w:sz w:val="20"/>
          <w:szCs w:val="20"/>
        </w:rPr>
        <w:t>Using Home Equity to Supplement Retirement Income”</w:t>
      </w:r>
    </w:p>
    <w:p w:rsidR="00ED5F0F" w:rsidRDefault="00ED5F0F" w:rsidP="00FB7B6B">
      <w:pPr>
        <w:autoSpaceDE w:val="0"/>
        <w:autoSpaceDN w:val="0"/>
        <w:adjustRightInd w:val="0"/>
        <w:jc w:val="center"/>
        <w:rPr>
          <w:rFonts w:ascii="GothamNarrow-Book" w:hAnsi="GothamNarrow-Book" w:cs="GothamNarrow-Book"/>
          <w:color w:val="404040"/>
          <w:sz w:val="20"/>
          <w:szCs w:val="20"/>
        </w:rPr>
      </w:pPr>
      <w:proofErr w:type="gramStart"/>
      <w:r>
        <w:rPr>
          <w:rFonts w:ascii="GothamNarrow-Book" w:hAnsi="GothamNarrow-Book" w:cs="GothamNarrow-Book"/>
          <w:color w:val="404040"/>
          <w:sz w:val="20"/>
          <w:szCs w:val="20"/>
        </w:rPr>
        <w:t>by</w:t>
      </w:r>
      <w:proofErr w:type="gramEnd"/>
      <w:r>
        <w:rPr>
          <w:rFonts w:ascii="GothamNarrow-Book" w:hAnsi="GothamNarrow-Book" w:cs="GothamNarrow-Book"/>
          <w:color w:val="404040"/>
          <w:sz w:val="20"/>
          <w:szCs w:val="20"/>
        </w:rPr>
        <w:t xml:space="preserve"> Barry H. Sacks, J.D., Ph.D. and Stephen R. Sacks, Ph.D.</w:t>
      </w:r>
    </w:p>
    <w:p w:rsidR="00ED5F0F" w:rsidRDefault="00ED5F0F" w:rsidP="00ED5F0F">
      <w:pPr>
        <w:autoSpaceDE w:val="0"/>
        <w:autoSpaceDN w:val="0"/>
        <w:adjustRightInd w:val="0"/>
        <w:rPr>
          <w:rFonts w:ascii="GothamNarrow-Book" w:hAnsi="GothamNarrow-Book" w:cs="GothamNarrow-Book"/>
          <w:color w:val="404040"/>
          <w:sz w:val="20"/>
          <w:szCs w:val="20"/>
        </w:rPr>
      </w:pPr>
    </w:p>
    <w:p w:rsidR="00ED5F0F" w:rsidRPr="008104D8" w:rsidRDefault="00ED5F0F" w:rsidP="008F6960">
      <w:pPr>
        <w:autoSpaceDE w:val="0"/>
        <w:autoSpaceDN w:val="0"/>
        <w:adjustRightInd w:val="0"/>
        <w:ind w:left="-360" w:right="-270"/>
        <w:jc w:val="both"/>
        <w:rPr>
          <w:rFonts w:ascii="Times New Roman" w:hAnsi="Times New Roman" w:cs="Times New Roman"/>
          <w:color w:val="404040"/>
        </w:rPr>
      </w:pPr>
      <w:r>
        <w:rPr>
          <w:rFonts w:ascii="GothamNarrow-Book" w:hAnsi="GothamNarrow-Book" w:cs="GothamNarrow-Book"/>
          <w:color w:val="404040"/>
          <w:sz w:val="20"/>
          <w:szCs w:val="20"/>
        </w:rPr>
        <w:t xml:space="preserve">1. </w:t>
      </w:r>
      <w:r>
        <w:rPr>
          <w:rFonts w:ascii="GothamNarrow-Bold" w:hAnsi="GothamNarrow-Bold" w:cs="GothamNarrow-Bold"/>
          <w:b/>
          <w:bCs/>
          <w:color w:val="404040"/>
          <w:sz w:val="20"/>
          <w:szCs w:val="20"/>
        </w:rPr>
        <w:t>Retirees’ Objective</w:t>
      </w:r>
      <w:r w:rsidRPr="00B4517A">
        <w:rPr>
          <w:rFonts w:ascii="Arial Narrow" w:hAnsi="Arial Narrow" w:cs="GothamNarrow-Bold"/>
          <w:b/>
          <w:bCs/>
          <w:color w:val="404040"/>
          <w:sz w:val="20"/>
          <w:szCs w:val="20"/>
        </w:rPr>
        <w:t xml:space="preserve">. </w:t>
      </w:r>
      <w:r w:rsidRPr="008104D8">
        <w:rPr>
          <w:rFonts w:ascii="Times New Roman" w:hAnsi="Times New Roman" w:cs="Times New Roman"/>
          <w:color w:val="404040"/>
        </w:rPr>
        <w:t>The overriding objective for many retirees is to maintain cash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flow throughout their retirement years, to avoid “running out of money” in their later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years.</w:t>
      </w:r>
    </w:p>
    <w:p w:rsidR="00ED5F0F" w:rsidRDefault="00ED5F0F" w:rsidP="005C52AE">
      <w:pPr>
        <w:autoSpaceDE w:val="0"/>
        <w:autoSpaceDN w:val="0"/>
        <w:adjustRightInd w:val="0"/>
        <w:jc w:val="both"/>
        <w:rPr>
          <w:rFonts w:ascii="GothamNarrow-Book" w:hAnsi="GothamNarrow-Book" w:cs="GothamNarrow-Book"/>
          <w:color w:val="404040"/>
          <w:sz w:val="20"/>
          <w:szCs w:val="20"/>
        </w:rPr>
      </w:pPr>
    </w:p>
    <w:p w:rsidR="00ED5F0F" w:rsidRPr="008104D8" w:rsidRDefault="00ED5F0F" w:rsidP="008F6960">
      <w:pPr>
        <w:autoSpaceDE w:val="0"/>
        <w:autoSpaceDN w:val="0"/>
        <w:adjustRightInd w:val="0"/>
        <w:ind w:left="-360" w:right="-270"/>
        <w:jc w:val="both"/>
        <w:rPr>
          <w:rFonts w:ascii="Times New Roman" w:hAnsi="Times New Roman" w:cs="Times New Roman"/>
          <w:color w:val="404040"/>
        </w:rPr>
      </w:pPr>
      <w:r w:rsidRPr="008104D8">
        <w:rPr>
          <w:rFonts w:ascii="Times New Roman" w:hAnsi="Times New Roman" w:cs="Times New Roman"/>
          <w:color w:val="404040"/>
        </w:rPr>
        <w:t xml:space="preserve">2. </w:t>
      </w:r>
      <w:r w:rsidRPr="008104D8">
        <w:rPr>
          <w:rFonts w:ascii="Times New Roman" w:hAnsi="Times New Roman" w:cs="Times New Roman"/>
          <w:b/>
          <w:bCs/>
          <w:color w:val="404040"/>
        </w:rPr>
        <w:t xml:space="preserve">Maximum “Safe” Withdrawal Rate. </w:t>
      </w:r>
      <w:r w:rsidRPr="008104D8">
        <w:rPr>
          <w:rFonts w:ascii="Times New Roman" w:hAnsi="Times New Roman" w:cs="Times New Roman"/>
          <w:color w:val="404040"/>
        </w:rPr>
        <w:t>It has long been accepted that the maximum</w:t>
      </w:r>
      <w:r w:rsidR="008104D8" w:rsidRP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safe (or “</w:t>
      </w:r>
      <w:proofErr w:type="spellStart"/>
      <w:r w:rsidRPr="008104D8">
        <w:rPr>
          <w:rFonts w:ascii="Times New Roman" w:hAnsi="Times New Roman" w:cs="Times New Roman"/>
          <w:color w:val="404040"/>
        </w:rPr>
        <w:t>safemax</w:t>
      </w:r>
      <w:proofErr w:type="spellEnd"/>
      <w:r w:rsidRPr="008104D8">
        <w:rPr>
          <w:rFonts w:ascii="Times New Roman" w:hAnsi="Times New Roman" w:cs="Times New Roman"/>
          <w:color w:val="404040"/>
        </w:rPr>
        <w:t>”) annual withdrawal from a retiree’s account (such as a 401(k)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account or a rollover IRA) begins with a first year’s withdrawal equal to between 4.0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percent and 4.25 percent of the initial account value. Subsequent years’ withdrawals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then continue at the same dollar amount, adjusted only for inflation (thus maintaining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constant purchasing power).</w:t>
      </w:r>
    </w:p>
    <w:p w:rsidR="00ED5F0F" w:rsidRPr="008104D8" w:rsidRDefault="00ED5F0F" w:rsidP="005C52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04040"/>
        </w:rPr>
      </w:pPr>
    </w:p>
    <w:p w:rsidR="00ED5F0F" w:rsidRPr="008104D8" w:rsidRDefault="00ED5F0F" w:rsidP="008F6960">
      <w:pPr>
        <w:autoSpaceDE w:val="0"/>
        <w:autoSpaceDN w:val="0"/>
        <w:adjustRightInd w:val="0"/>
        <w:ind w:left="-180" w:right="-270" w:hanging="180"/>
        <w:jc w:val="both"/>
        <w:rPr>
          <w:rFonts w:ascii="Times New Roman" w:hAnsi="Times New Roman" w:cs="Times New Roman"/>
          <w:color w:val="404040"/>
        </w:rPr>
      </w:pPr>
      <w:r w:rsidRPr="008104D8">
        <w:rPr>
          <w:rFonts w:ascii="Times New Roman" w:hAnsi="Times New Roman" w:cs="Times New Roman"/>
          <w:color w:val="404040"/>
        </w:rPr>
        <w:t xml:space="preserve">3. </w:t>
      </w:r>
      <w:r w:rsidRPr="008104D8">
        <w:rPr>
          <w:rFonts w:ascii="Times New Roman" w:hAnsi="Times New Roman" w:cs="Times New Roman"/>
          <w:b/>
          <w:bCs/>
          <w:color w:val="404040"/>
        </w:rPr>
        <w:t xml:space="preserve">Meaning of “Safe”. </w:t>
      </w:r>
      <w:r w:rsidRPr="008104D8">
        <w:rPr>
          <w:rFonts w:ascii="Times New Roman" w:hAnsi="Times New Roman" w:cs="Times New Roman"/>
          <w:color w:val="404040"/>
        </w:rPr>
        <w:t>In this context, the term “safe” means a 90% or greater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probability that the account will have sufficient assets to make such annual payments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for at least 30 years.</w:t>
      </w:r>
    </w:p>
    <w:p w:rsidR="00ED5F0F" w:rsidRPr="008104D8" w:rsidRDefault="00ED5F0F" w:rsidP="005C52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04040"/>
        </w:rPr>
      </w:pPr>
    </w:p>
    <w:p w:rsidR="00ED5F0F" w:rsidRPr="008104D8" w:rsidRDefault="008F6960" w:rsidP="008F6960">
      <w:pPr>
        <w:autoSpaceDE w:val="0"/>
        <w:autoSpaceDN w:val="0"/>
        <w:adjustRightInd w:val="0"/>
        <w:ind w:left="-360" w:right="-270" w:hanging="360"/>
        <w:jc w:val="both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404040"/>
        </w:rPr>
        <w:t xml:space="preserve">  </w:t>
      </w:r>
      <w:r>
        <w:rPr>
          <w:rFonts w:ascii="Times New Roman" w:hAnsi="Times New Roman" w:cs="Times New Roman"/>
          <w:color w:val="404040"/>
        </w:rPr>
        <w:tab/>
      </w:r>
      <w:r w:rsidR="00ED5F0F" w:rsidRPr="008104D8">
        <w:rPr>
          <w:rFonts w:ascii="Times New Roman" w:hAnsi="Times New Roman" w:cs="Times New Roman"/>
          <w:color w:val="404040"/>
        </w:rPr>
        <w:t xml:space="preserve">4. </w:t>
      </w:r>
      <w:r w:rsidR="00ED5F0F" w:rsidRPr="008104D8">
        <w:rPr>
          <w:rFonts w:ascii="Times New Roman" w:hAnsi="Times New Roman" w:cs="Times New Roman"/>
          <w:b/>
          <w:bCs/>
          <w:color w:val="404040"/>
        </w:rPr>
        <w:t xml:space="preserve">Taking the “Unsafe” Approach: The Risk. </w:t>
      </w:r>
      <w:r w:rsidR="00ED5F0F" w:rsidRPr="008104D8">
        <w:rPr>
          <w:rFonts w:ascii="Times New Roman" w:hAnsi="Times New Roman" w:cs="Times New Roman"/>
          <w:color w:val="404040"/>
        </w:rPr>
        <w:t xml:space="preserve">Many retirees find that the </w:t>
      </w:r>
      <w:proofErr w:type="spellStart"/>
      <w:r w:rsidR="00ED5F0F" w:rsidRPr="008104D8">
        <w:rPr>
          <w:rFonts w:ascii="Times New Roman" w:hAnsi="Times New Roman" w:cs="Times New Roman"/>
          <w:color w:val="404040"/>
        </w:rPr>
        <w:t>safemax</w:t>
      </w:r>
      <w:proofErr w:type="spellEnd"/>
      <w:r w:rsidR="008104D8">
        <w:rPr>
          <w:rFonts w:ascii="Times New Roman" w:hAnsi="Times New Roman" w:cs="Times New Roman"/>
          <w:color w:val="404040"/>
        </w:rPr>
        <w:t xml:space="preserve"> </w:t>
      </w:r>
      <w:r w:rsidR="00ED5F0F" w:rsidRPr="008104D8">
        <w:rPr>
          <w:rFonts w:ascii="Times New Roman" w:hAnsi="Times New Roman" w:cs="Times New Roman"/>
          <w:color w:val="404040"/>
        </w:rPr>
        <w:t>amount is uncomfortably limiting, and therefore tend to withdraw more than that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="00ED5F0F" w:rsidRPr="008104D8">
        <w:rPr>
          <w:rFonts w:ascii="Times New Roman" w:hAnsi="Times New Roman" w:cs="Times New Roman"/>
          <w:color w:val="404040"/>
        </w:rPr>
        <w:t>amount. This higher, “unsafe,” withdrawal rate significantly increases the risk of these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="00ED5F0F" w:rsidRPr="008104D8">
        <w:rPr>
          <w:rFonts w:ascii="Times New Roman" w:hAnsi="Times New Roman" w:cs="Times New Roman"/>
          <w:color w:val="404040"/>
        </w:rPr>
        <w:t>retirees running out of money during retirement, of “outliving their money.”</w:t>
      </w:r>
    </w:p>
    <w:p w:rsidR="00ED5F0F" w:rsidRPr="008104D8" w:rsidRDefault="00ED5F0F" w:rsidP="005C52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04040"/>
        </w:rPr>
      </w:pPr>
    </w:p>
    <w:p w:rsidR="00ED5F0F" w:rsidRPr="008104D8" w:rsidRDefault="00ED5F0F" w:rsidP="008F6960">
      <w:pPr>
        <w:autoSpaceDE w:val="0"/>
        <w:autoSpaceDN w:val="0"/>
        <w:adjustRightInd w:val="0"/>
        <w:ind w:left="-360" w:right="-270"/>
        <w:jc w:val="both"/>
        <w:rPr>
          <w:rFonts w:ascii="Times New Roman" w:hAnsi="Times New Roman" w:cs="Times New Roman"/>
          <w:color w:val="404040"/>
        </w:rPr>
      </w:pPr>
      <w:r w:rsidRPr="008104D8">
        <w:rPr>
          <w:rFonts w:ascii="Times New Roman" w:hAnsi="Times New Roman" w:cs="Times New Roman"/>
          <w:color w:val="404040"/>
        </w:rPr>
        <w:t xml:space="preserve">5. </w:t>
      </w:r>
      <w:r w:rsidRPr="008104D8">
        <w:rPr>
          <w:rFonts w:ascii="Times New Roman" w:hAnsi="Times New Roman" w:cs="Times New Roman"/>
          <w:b/>
          <w:bCs/>
          <w:color w:val="404040"/>
        </w:rPr>
        <w:t>The Conventional</w:t>
      </w:r>
      <w:r w:rsidR="008104D8">
        <w:rPr>
          <w:rFonts w:ascii="Times New Roman" w:hAnsi="Times New Roman" w:cs="Times New Roman"/>
          <w:b/>
          <w:bCs/>
          <w:color w:val="404040"/>
        </w:rPr>
        <w:t xml:space="preserve"> Wisdom</w:t>
      </w:r>
      <w:r w:rsidRPr="008104D8">
        <w:rPr>
          <w:rFonts w:ascii="Times New Roman" w:hAnsi="Times New Roman" w:cs="Times New Roman"/>
          <w:b/>
          <w:bCs/>
          <w:color w:val="404040"/>
        </w:rPr>
        <w:t xml:space="preserve">: Home Equity as the Last Resort. </w:t>
      </w:r>
      <w:r w:rsidRPr="008104D8">
        <w:rPr>
          <w:rFonts w:ascii="Times New Roman" w:hAnsi="Times New Roman" w:cs="Times New Roman"/>
          <w:color w:val="404040"/>
        </w:rPr>
        <w:t>The conventional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wisdom, for retirees who choose to withdraw from their accounts at “unsafe”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withdrawal rates and own homes, is to view their home equity as a “last resort.” The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last resort, a passive strategy, is to draw upon the home equity only if and when the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account is exhausted.</w:t>
      </w:r>
    </w:p>
    <w:p w:rsidR="00ED5F0F" w:rsidRPr="008104D8" w:rsidRDefault="00ED5F0F" w:rsidP="005C52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04040"/>
        </w:rPr>
      </w:pPr>
    </w:p>
    <w:p w:rsidR="00ED5F0F" w:rsidRPr="008104D8" w:rsidRDefault="00ED5F0F" w:rsidP="008F6960">
      <w:pPr>
        <w:autoSpaceDE w:val="0"/>
        <w:autoSpaceDN w:val="0"/>
        <w:adjustRightInd w:val="0"/>
        <w:ind w:left="-360" w:right="-270"/>
        <w:jc w:val="both"/>
        <w:rPr>
          <w:rFonts w:ascii="Times New Roman" w:hAnsi="Times New Roman" w:cs="Times New Roman"/>
          <w:color w:val="404040"/>
        </w:rPr>
      </w:pPr>
      <w:r w:rsidRPr="008104D8">
        <w:rPr>
          <w:rFonts w:ascii="Times New Roman" w:hAnsi="Times New Roman" w:cs="Times New Roman"/>
          <w:color w:val="404040"/>
        </w:rPr>
        <w:t xml:space="preserve">6. </w:t>
      </w:r>
      <w:proofErr w:type="gramStart"/>
      <w:r w:rsidRPr="008104D8">
        <w:rPr>
          <w:rFonts w:ascii="Times New Roman" w:hAnsi="Times New Roman" w:cs="Times New Roman"/>
          <w:b/>
          <w:bCs/>
          <w:color w:val="404040"/>
        </w:rPr>
        <w:t>The</w:t>
      </w:r>
      <w:proofErr w:type="gramEnd"/>
      <w:r w:rsidRPr="008104D8">
        <w:rPr>
          <w:rFonts w:ascii="Times New Roman" w:hAnsi="Times New Roman" w:cs="Times New Roman"/>
          <w:b/>
          <w:bCs/>
          <w:color w:val="404040"/>
        </w:rPr>
        <w:t xml:space="preserve"> Most Frequent Cause of Account Exhaustion. </w:t>
      </w:r>
      <w:r w:rsidRPr="008104D8">
        <w:rPr>
          <w:rFonts w:ascii="Times New Roman" w:hAnsi="Times New Roman" w:cs="Times New Roman"/>
          <w:color w:val="404040"/>
        </w:rPr>
        <w:t>Where withdrawals lead to an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account’s exhaustion, it is most often because the investment performance in the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early years of withdrawal has been weak or negative. Thus, the losses or even the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weak gains in the early “down” years, coupled with the withdrawals in those years,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lead to the account’s not having enough assets to recover in the later “up” years.</w:t>
      </w:r>
    </w:p>
    <w:p w:rsidR="00ED5F0F" w:rsidRPr="008104D8" w:rsidRDefault="00ED5F0F" w:rsidP="005C52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04040"/>
        </w:rPr>
      </w:pPr>
    </w:p>
    <w:p w:rsidR="00ED5F0F" w:rsidRPr="008104D8" w:rsidRDefault="00ED5F0F" w:rsidP="008F6960">
      <w:pPr>
        <w:autoSpaceDE w:val="0"/>
        <w:autoSpaceDN w:val="0"/>
        <w:adjustRightInd w:val="0"/>
        <w:ind w:left="-360" w:right="-270"/>
        <w:jc w:val="both"/>
        <w:rPr>
          <w:rFonts w:ascii="Times New Roman" w:hAnsi="Times New Roman" w:cs="Times New Roman"/>
          <w:color w:val="404040"/>
        </w:rPr>
      </w:pPr>
      <w:r w:rsidRPr="008104D8">
        <w:rPr>
          <w:rFonts w:ascii="Times New Roman" w:hAnsi="Times New Roman" w:cs="Times New Roman"/>
          <w:color w:val="404040"/>
        </w:rPr>
        <w:t xml:space="preserve">7. </w:t>
      </w:r>
      <w:r w:rsidRPr="008104D8">
        <w:rPr>
          <w:rFonts w:ascii="Times New Roman" w:hAnsi="Times New Roman" w:cs="Times New Roman"/>
          <w:b/>
          <w:bCs/>
          <w:color w:val="404040"/>
        </w:rPr>
        <w:t>More Effective Way to Insure Cash Flow Continuity: The “Active Strategy.”</w:t>
      </w:r>
      <w:r w:rsidR="008104D8">
        <w:rPr>
          <w:rFonts w:ascii="Times New Roman" w:hAnsi="Times New Roman" w:cs="Times New Roman"/>
          <w:b/>
          <w:bCs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Our article demonstrates a much more effective way to use home equity (in the form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of a reverse mortgage credit line) than to use it as a last resort. Establishing the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 xml:space="preserve">reverse mortgage credit line early in retirement, and using it in the </w:t>
      </w:r>
      <w:r w:rsidR="008104D8">
        <w:rPr>
          <w:rFonts w:ascii="Times New Roman" w:hAnsi="Times New Roman" w:cs="Times New Roman"/>
          <w:color w:val="404040"/>
        </w:rPr>
        <w:t>A</w:t>
      </w:r>
      <w:r w:rsidRPr="008104D8">
        <w:rPr>
          <w:rFonts w:ascii="Times New Roman" w:hAnsi="Times New Roman" w:cs="Times New Roman"/>
          <w:color w:val="404040"/>
        </w:rPr>
        <w:t xml:space="preserve">ctive </w:t>
      </w:r>
      <w:r w:rsidR="008104D8">
        <w:rPr>
          <w:rFonts w:ascii="Times New Roman" w:hAnsi="Times New Roman" w:cs="Times New Roman"/>
          <w:color w:val="404040"/>
        </w:rPr>
        <w:t>S</w:t>
      </w:r>
      <w:r w:rsidRPr="008104D8">
        <w:rPr>
          <w:rFonts w:ascii="Times New Roman" w:hAnsi="Times New Roman" w:cs="Times New Roman"/>
          <w:color w:val="404040"/>
        </w:rPr>
        <w:t>trategy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described in the next paragraph, and described more fully in the article, greatly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increases the likelihood that the retiree’s cash flow will continue for the retiree’s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entire life</w:t>
      </w:r>
      <w:r w:rsidR="00EB2AF4">
        <w:rPr>
          <w:rFonts w:ascii="Times New Roman" w:hAnsi="Times New Roman" w:cs="Times New Roman"/>
          <w:color w:val="404040"/>
        </w:rPr>
        <w:t xml:space="preserve"> in retirement</w:t>
      </w:r>
      <w:r w:rsidRPr="008104D8">
        <w:rPr>
          <w:rFonts w:ascii="Times New Roman" w:hAnsi="Times New Roman" w:cs="Times New Roman"/>
          <w:color w:val="404040"/>
        </w:rPr>
        <w:t xml:space="preserve">, as compared with the likelihood of cash flow continuation if the </w:t>
      </w:r>
      <w:r w:rsidR="008F6960">
        <w:rPr>
          <w:rFonts w:ascii="Times New Roman" w:hAnsi="Times New Roman" w:cs="Times New Roman"/>
          <w:color w:val="404040"/>
        </w:rPr>
        <w:t>L</w:t>
      </w:r>
      <w:r w:rsidRPr="008104D8">
        <w:rPr>
          <w:rFonts w:ascii="Times New Roman" w:hAnsi="Times New Roman" w:cs="Times New Roman"/>
          <w:color w:val="404040"/>
        </w:rPr>
        <w:t xml:space="preserve">ast </w:t>
      </w:r>
      <w:r w:rsidR="008F6960">
        <w:rPr>
          <w:rFonts w:ascii="Times New Roman" w:hAnsi="Times New Roman" w:cs="Times New Roman"/>
          <w:color w:val="404040"/>
        </w:rPr>
        <w:t>R</w:t>
      </w:r>
      <w:r w:rsidRPr="008104D8">
        <w:rPr>
          <w:rFonts w:ascii="Times New Roman" w:hAnsi="Times New Roman" w:cs="Times New Roman"/>
          <w:color w:val="404040"/>
        </w:rPr>
        <w:t>esort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="008F6960">
        <w:rPr>
          <w:rFonts w:ascii="Times New Roman" w:hAnsi="Times New Roman" w:cs="Times New Roman"/>
          <w:color w:val="404040"/>
        </w:rPr>
        <w:t>S</w:t>
      </w:r>
      <w:r w:rsidRPr="008104D8">
        <w:rPr>
          <w:rFonts w:ascii="Times New Roman" w:hAnsi="Times New Roman" w:cs="Times New Roman"/>
          <w:color w:val="404040"/>
        </w:rPr>
        <w:t>trategy is used.</w:t>
      </w:r>
    </w:p>
    <w:p w:rsidR="00ED5F0F" w:rsidRPr="008104D8" w:rsidRDefault="00ED5F0F" w:rsidP="005C52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04040"/>
        </w:rPr>
      </w:pPr>
    </w:p>
    <w:p w:rsidR="005361DB" w:rsidRPr="008104D8" w:rsidRDefault="00ED5F0F" w:rsidP="008F6960">
      <w:pPr>
        <w:autoSpaceDE w:val="0"/>
        <w:autoSpaceDN w:val="0"/>
        <w:adjustRightInd w:val="0"/>
        <w:ind w:left="-360" w:right="-270"/>
        <w:jc w:val="both"/>
        <w:rPr>
          <w:rFonts w:ascii="Times New Roman" w:hAnsi="Times New Roman" w:cs="Times New Roman"/>
          <w:color w:val="404040"/>
        </w:rPr>
      </w:pPr>
      <w:r w:rsidRPr="008104D8">
        <w:rPr>
          <w:rFonts w:ascii="Times New Roman" w:hAnsi="Times New Roman" w:cs="Times New Roman"/>
          <w:color w:val="404040"/>
        </w:rPr>
        <w:t xml:space="preserve">8. </w:t>
      </w:r>
      <w:r w:rsidRPr="008104D8">
        <w:rPr>
          <w:rFonts w:ascii="Times New Roman" w:hAnsi="Times New Roman" w:cs="Times New Roman"/>
          <w:b/>
          <w:bCs/>
          <w:color w:val="404040"/>
        </w:rPr>
        <w:t xml:space="preserve">The Operation of the </w:t>
      </w:r>
      <w:r w:rsidR="00FB7B6B" w:rsidRPr="008104D8">
        <w:rPr>
          <w:rFonts w:ascii="Times New Roman" w:hAnsi="Times New Roman" w:cs="Times New Roman"/>
          <w:b/>
          <w:bCs/>
          <w:color w:val="404040"/>
        </w:rPr>
        <w:t xml:space="preserve">Active </w:t>
      </w:r>
      <w:r w:rsidRPr="008104D8">
        <w:rPr>
          <w:rFonts w:ascii="Times New Roman" w:hAnsi="Times New Roman" w:cs="Times New Roman"/>
          <w:b/>
          <w:bCs/>
          <w:color w:val="404040"/>
        </w:rPr>
        <w:t xml:space="preserve">Strategy. </w:t>
      </w:r>
      <w:r w:rsidRPr="008104D8">
        <w:rPr>
          <w:rFonts w:ascii="Times New Roman" w:hAnsi="Times New Roman" w:cs="Times New Roman"/>
          <w:color w:val="404040"/>
        </w:rPr>
        <w:t xml:space="preserve">The </w:t>
      </w:r>
      <w:r w:rsidR="00FB7B6B" w:rsidRPr="008104D8">
        <w:rPr>
          <w:rFonts w:ascii="Times New Roman" w:hAnsi="Times New Roman" w:cs="Times New Roman"/>
          <w:color w:val="404040"/>
        </w:rPr>
        <w:t>Active S</w:t>
      </w:r>
      <w:r w:rsidRPr="008104D8">
        <w:rPr>
          <w:rFonts w:ascii="Times New Roman" w:hAnsi="Times New Roman" w:cs="Times New Roman"/>
          <w:color w:val="404040"/>
        </w:rPr>
        <w:t>trategy allows the account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to grow during the early years of retirement by taking no withdrawals from it in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the early years that follow years in which the account’s performance was weak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or negative. This greatly facilitates the account’s recovery in years when its</w:t>
      </w:r>
      <w:r w:rsidR="008104D8">
        <w:rPr>
          <w:rFonts w:ascii="Times New Roman" w:hAnsi="Times New Roman" w:cs="Times New Roman"/>
          <w:color w:val="404040"/>
        </w:rPr>
        <w:t xml:space="preserve"> </w:t>
      </w:r>
      <w:r w:rsidRPr="008104D8">
        <w:rPr>
          <w:rFonts w:ascii="Times New Roman" w:hAnsi="Times New Roman" w:cs="Times New Roman"/>
          <w:color w:val="404040"/>
        </w:rPr>
        <w:t>performance is stronger.</w:t>
      </w:r>
    </w:p>
    <w:p w:rsidR="00B4517A" w:rsidRPr="008104D8" w:rsidRDefault="00B4517A" w:rsidP="005C52AE">
      <w:pPr>
        <w:jc w:val="both"/>
        <w:rPr>
          <w:rFonts w:ascii="Times New Roman" w:hAnsi="Times New Roman" w:cs="Times New Roman"/>
          <w:color w:val="404040"/>
        </w:rPr>
      </w:pPr>
    </w:p>
    <w:p w:rsidR="00B4517A" w:rsidRPr="00397376" w:rsidRDefault="00B4517A" w:rsidP="008F6960">
      <w:pPr>
        <w:ind w:left="-270" w:right="-270"/>
        <w:jc w:val="both"/>
        <w:rPr>
          <w:rFonts w:ascii="Times New Roman" w:hAnsi="Times New Roman" w:cs="Times New Roman"/>
        </w:rPr>
      </w:pPr>
      <w:r w:rsidRPr="008104D8">
        <w:rPr>
          <w:rFonts w:ascii="Times New Roman" w:hAnsi="Times New Roman" w:cs="Times New Roman"/>
          <w:b/>
          <w:color w:val="404040"/>
        </w:rPr>
        <w:t xml:space="preserve">9. Demonstration of Effectiveness of the Strategy.  </w:t>
      </w:r>
      <w:r w:rsidRPr="008104D8">
        <w:rPr>
          <w:rFonts w:ascii="Times New Roman" w:hAnsi="Times New Roman" w:cs="Times New Roman"/>
          <w:color w:val="404040"/>
        </w:rPr>
        <w:t xml:space="preserve">Monte Carlo simulations run with 4%, 5% and even 6.5% initial withdrawal rates, using a 60-40 asset allocation and </w:t>
      </w:r>
      <w:r w:rsidR="00EB2AF4">
        <w:rPr>
          <w:rFonts w:ascii="Times New Roman" w:hAnsi="Times New Roman" w:cs="Times New Roman"/>
          <w:color w:val="404040"/>
        </w:rPr>
        <w:t xml:space="preserve">investment return </w:t>
      </w:r>
      <w:r w:rsidRPr="008104D8">
        <w:rPr>
          <w:rFonts w:ascii="Times New Roman" w:hAnsi="Times New Roman" w:cs="Times New Roman"/>
          <w:color w:val="404040"/>
        </w:rPr>
        <w:t xml:space="preserve">data </w:t>
      </w:r>
      <w:r w:rsidR="00EB2AF4">
        <w:rPr>
          <w:rFonts w:ascii="Times New Roman" w:hAnsi="Times New Roman" w:cs="Times New Roman"/>
          <w:color w:val="404040"/>
        </w:rPr>
        <w:t xml:space="preserve">and inflation data </w:t>
      </w:r>
      <w:r w:rsidRPr="008104D8">
        <w:rPr>
          <w:rFonts w:ascii="Times New Roman" w:hAnsi="Times New Roman" w:cs="Times New Roman"/>
          <w:color w:val="404040"/>
        </w:rPr>
        <w:t>from the 1973 through 2009 time period</w:t>
      </w:r>
      <w:r w:rsidR="008104D8">
        <w:rPr>
          <w:rFonts w:ascii="Times New Roman" w:hAnsi="Times New Roman" w:cs="Times New Roman"/>
          <w:color w:val="404040"/>
        </w:rPr>
        <w:t>,</w:t>
      </w:r>
      <w:r w:rsidRPr="008104D8">
        <w:rPr>
          <w:rFonts w:ascii="Times New Roman" w:hAnsi="Times New Roman" w:cs="Times New Roman"/>
          <w:color w:val="404040"/>
        </w:rPr>
        <w:t xml:space="preserve"> show that the Active Strategy gives substantially greater cash flow survival probabilities than the </w:t>
      </w:r>
      <w:r w:rsidR="008104D8">
        <w:rPr>
          <w:rFonts w:ascii="Times New Roman" w:hAnsi="Times New Roman" w:cs="Times New Roman"/>
          <w:color w:val="404040"/>
        </w:rPr>
        <w:t xml:space="preserve">Last Resort </w:t>
      </w:r>
      <w:r w:rsidRPr="00397376">
        <w:rPr>
          <w:rFonts w:ascii="Times New Roman" w:hAnsi="Times New Roman" w:cs="Times New Roman"/>
          <w:color w:val="404040"/>
        </w:rPr>
        <w:t xml:space="preserve">Strategy.  And, incidentally, the Active Strategy results in a significantly higher median residual net worth </w:t>
      </w:r>
      <w:r w:rsidR="008F6960" w:rsidRPr="00397376">
        <w:rPr>
          <w:rFonts w:ascii="Times New Roman" w:hAnsi="Times New Roman" w:cs="Times New Roman"/>
          <w:color w:val="404040"/>
        </w:rPr>
        <w:t xml:space="preserve">(at the end of retirement) </w:t>
      </w:r>
      <w:r w:rsidRPr="00397376">
        <w:rPr>
          <w:rFonts w:ascii="Times New Roman" w:hAnsi="Times New Roman" w:cs="Times New Roman"/>
          <w:color w:val="404040"/>
        </w:rPr>
        <w:t xml:space="preserve">than </w:t>
      </w:r>
      <w:r w:rsidR="00A86A5D" w:rsidRPr="00397376">
        <w:rPr>
          <w:rFonts w:ascii="Times New Roman" w:hAnsi="Times New Roman" w:cs="Times New Roman"/>
          <w:color w:val="404040"/>
        </w:rPr>
        <w:t xml:space="preserve">does </w:t>
      </w:r>
      <w:r w:rsidRPr="00397376">
        <w:rPr>
          <w:rFonts w:ascii="Times New Roman" w:hAnsi="Times New Roman" w:cs="Times New Roman"/>
          <w:color w:val="404040"/>
        </w:rPr>
        <w:t xml:space="preserve">the </w:t>
      </w:r>
      <w:r w:rsidR="008104D8" w:rsidRPr="00397376">
        <w:rPr>
          <w:rFonts w:ascii="Times New Roman" w:hAnsi="Times New Roman" w:cs="Times New Roman"/>
          <w:color w:val="404040"/>
        </w:rPr>
        <w:t xml:space="preserve">Last Resort </w:t>
      </w:r>
      <w:r w:rsidRPr="00397376">
        <w:rPr>
          <w:rFonts w:ascii="Times New Roman" w:hAnsi="Times New Roman" w:cs="Times New Roman"/>
          <w:color w:val="404040"/>
        </w:rPr>
        <w:t>Strategy.</w:t>
      </w:r>
    </w:p>
    <w:sectPr w:rsidR="00B4517A" w:rsidRPr="00397376" w:rsidSect="008F6960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Narrow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Narrow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F0F"/>
    <w:rsid w:val="002A6E93"/>
    <w:rsid w:val="00374875"/>
    <w:rsid w:val="00397376"/>
    <w:rsid w:val="003F4D75"/>
    <w:rsid w:val="00485FAE"/>
    <w:rsid w:val="005361DB"/>
    <w:rsid w:val="005C52AE"/>
    <w:rsid w:val="008104D8"/>
    <w:rsid w:val="008F6960"/>
    <w:rsid w:val="00A86A5D"/>
    <w:rsid w:val="00B20BBF"/>
    <w:rsid w:val="00B4517A"/>
    <w:rsid w:val="00EB2AF4"/>
    <w:rsid w:val="00ED5F0F"/>
    <w:rsid w:val="00F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2</cp:revision>
  <dcterms:created xsi:type="dcterms:W3CDTF">2015-11-21T21:33:00Z</dcterms:created>
  <dcterms:modified xsi:type="dcterms:W3CDTF">2015-11-21T21:33:00Z</dcterms:modified>
</cp:coreProperties>
</file>